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66" w:rsidRDefault="000C22BA">
      <w:r>
        <w:rPr>
          <w:rStyle w:val="Enfasigrassetto"/>
          <w:rFonts w:ascii="Arial" w:hAnsi="Arial" w:cs="Arial"/>
          <w:color w:val="777777"/>
          <w:sz w:val="21"/>
          <w:szCs w:val="21"/>
          <w:shd w:val="clear" w:color="auto" w:fill="FFFFFF"/>
        </w:rPr>
        <w:t>N. 161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Collegamentoipertestuale"/>
            <w:rFonts w:ascii="Arial" w:hAnsi="Arial" w:cs="Arial"/>
            <w:color w:val="2A7CC9"/>
            <w:sz w:val="21"/>
            <w:szCs w:val="21"/>
            <w:u w:val="none"/>
            <w:shd w:val="clear" w:color="auto" w:fill="FFFFFF"/>
          </w:rPr>
          <w:t xml:space="preserve">Sul riconoscimento diagnosi e cura della </w:t>
        </w:r>
        <w:proofErr w:type="spellStart"/>
        <w:r>
          <w:rPr>
            <w:rStyle w:val="Collegamentoipertestuale"/>
            <w:rFonts w:ascii="Arial" w:hAnsi="Arial" w:cs="Arial"/>
            <w:color w:val="2A7CC9"/>
            <w:sz w:val="21"/>
            <w:szCs w:val="21"/>
            <w:u w:val="none"/>
            <w:shd w:val="clear" w:color="auto" w:fill="FFFFFF"/>
          </w:rPr>
          <w:t>fibromialgia</w:t>
        </w:r>
        <w:proofErr w:type="spellEnd"/>
      </w:hyperlink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Style w:val="Enfasigrassetto"/>
          <w:rFonts w:ascii="Arial" w:hAnsi="Arial" w:cs="Arial"/>
          <w:color w:val="777777"/>
          <w:sz w:val="21"/>
          <w:szCs w:val="21"/>
          <w:shd w:val="clear" w:color="auto" w:fill="FFFFFF"/>
        </w:rPr>
        <w:t>Iter:</w:t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Presentatore/i: Proponente: </w:t>
      </w:r>
      <w:hyperlink r:id="rId5" w:history="1">
        <w:r>
          <w:rPr>
            <w:rStyle w:val="Collegamentoipertestuale"/>
            <w:rFonts w:ascii="Arial" w:hAnsi="Arial" w:cs="Arial"/>
            <w:b/>
            <w:bCs/>
            <w:color w:val="2A7CC9"/>
            <w:sz w:val="21"/>
            <w:szCs w:val="21"/>
            <w:u w:val="none"/>
          </w:rPr>
          <w:t>S. ESPOSITO</w:t>
        </w:r>
      </w:hyperlink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, </w:t>
      </w:r>
      <w:hyperlink r:id="rId6" w:history="1">
        <w:r>
          <w:rPr>
            <w:rStyle w:val="Collegamentoipertestuale"/>
            <w:rFonts w:ascii="Arial" w:hAnsi="Arial" w:cs="Arial"/>
            <w:b/>
            <w:bCs/>
            <w:color w:val="2A7CC9"/>
            <w:sz w:val="21"/>
            <w:szCs w:val="21"/>
            <w:u w:val="none"/>
          </w:rPr>
          <w:t>D. BATTAGLIA</w:t>
        </w:r>
      </w:hyperlink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, </w:t>
      </w:r>
      <w:hyperlink r:id="rId7" w:history="1">
        <w:r>
          <w:rPr>
            <w:rStyle w:val="Collegamentoipertestuale"/>
            <w:rFonts w:ascii="Arial" w:hAnsi="Arial" w:cs="Arial"/>
            <w:b/>
            <w:bCs/>
            <w:color w:val="2A7CC9"/>
            <w:sz w:val="21"/>
            <w:szCs w:val="21"/>
            <w:u w:val="none"/>
          </w:rPr>
          <w:t>G. PEDA'</w:t>
        </w:r>
      </w:hyperlink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, </w:t>
      </w:r>
      <w:hyperlink r:id="rId8" w:history="1">
        <w:r>
          <w:rPr>
            <w:rStyle w:val="Collegamentoipertestuale"/>
            <w:rFonts w:ascii="Arial" w:hAnsi="Arial" w:cs="Arial"/>
            <w:b/>
            <w:bCs/>
            <w:color w:val="2A7CC9"/>
            <w:sz w:val="21"/>
            <w:szCs w:val="21"/>
            <w:u w:val="none"/>
          </w:rPr>
          <w:t>C. GUCCIONE</w:t>
        </w:r>
      </w:hyperlink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, </w:t>
      </w:r>
      <w:hyperlink r:id="rId9" w:history="1">
        <w:r>
          <w:rPr>
            <w:rStyle w:val="Collegamentoipertestuale"/>
            <w:rFonts w:ascii="Arial" w:hAnsi="Arial" w:cs="Arial"/>
            <w:b/>
            <w:bCs/>
            <w:color w:val="2A7CC9"/>
            <w:sz w:val="21"/>
            <w:szCs w:val="21"/>
            <w:u w:val="none"/>
          </w:rPr>
          <w:t>M. MIRABELLO</w:t>
        </w:r>
      </w:hyperlink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Data di presentazione: </w:t>
      </w:r>
      <w:r>
        <w:rPr>
          <w:rStyle w:val="Enfasigrassetto"/>
          <w:rFonts w:ascii="Arial" w:hAnsi="Arial" w:cs="Arial"/>
          <w:color w:val="777777"/>
          <w:sz w:val="21"/>
          <w:szCs w:val="21"/>
          <w:shd w:val="clear" w:color="auto" w:fill="FFFFFF"/>
        </w:rPr>
        <w:t>15/7/2019</w:t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Data di discussione: </w:t>
      </w:r>
      <w:r>
        <w:rPr>
          <w:rStyle w:val="Enfasigrassetto"/>
          <w:rFonts w:ascii="Arial" w:hAnsi="Arial" w:cs="Arial"/>
          <w:color w:val="777777"/>
          <w:sz w:val="21"/>
          <w:szCs w:val="21"/>
          <w:shd w:val="clear" w:color="auto" w:fill="FFFFFF"/>
        </w:rPr>
        <w:t>15/7/2019</w:t>
      </w:r>
      <w:r>
        <w:rPr>
          <w:rFonts w:ascii="Arial" w:hAnsi="Arial" w:cs="Arial"/>
          <w:color w:val="777777"/>
          <w:sz w:val="21"/>
          <w:szCs w:val="21"/>
        </w:rPr>
        <w:br/>
      </w:r>
      <w:hyperlink r:id="rId10" w:history="1">
        <w:r>
          <w:rPr>
            <w:rStyle w:val="Collegamentoipertestuale"/>
            <w:rFonts w:ascii="Arial" w:hAnsi="Arial" w:cs="Arial"/>
            <w:color w:val="2A7CC9"/>
            <w:sz w:val="21"/>
            <w:szCs w:val="21"/>
            <w:u w:val="none"/>
            <w:shd w:val="clear" w:color="auto" w:fill="FFFFFF"/>
          </w:rPr>
          <w:t>Testo approvato dal Consiglio (con modifiche)</w:t>
        </w:r>
      </w:hyperlink>
    </w:p>
    <w:p w:rsidR="000C22BA" w:rsidRPr="000C22BA" w:rsidRDefault="000C22BA" w:rsidP="000C22BA">
      <w:pPr>
        <w:shd w:val="clear" w:color="auto" w:fill="FFFFFF"/>
        <w:spacing w:after="210" w:line="270" w:lineRule="atLeast"/>
        <w:jc w:val="center"/>
        <w:outlineLvl w:val="4"/>
        <w:rPr>
          <w:rFonts w:ascii="inherit" w:eastAsia="Times New Roman" w:hAnsi="inherit" w:cs="Arial"/>
          <w:b/>
          <w:bCs/>
          <w:caps/>
          <w:color w:val="777777"/>
          <w:sz w:val="21"/>
          <w:szCs w:val="21"/>
          <w:lang w:eastAsia="it-IT"/>
        </w:rPr>
      </w:pPr>
      <w:r w:rsidRPr="000C22BA">
        <w:rPr>
          <w:rFonts w:ascii="inherit" w:eastAsia="Times New Roman" w:hAnsi="inherit" w:cs="Arial"/>
          <w:b/>
          <w:bCs/>
          <w:caps/>
          <w:color w:val="777777"/>
          <w:sz w:val="21"/>
          <w:szCs w:val="21"/>
          <w:lang w:eastAsia="it-IT"/>
        </w:rPr>
        <w:t>MOZIONE N. 161 DEL 15/07/2019</w:t>
      </w:r>
    </w:p>
    <w:p w:rsidR="000C22BA" w:rsidRPr="000C22BA" w:rsidRDefault="000C22BA" w:rsidP="000C22BA">
      <w:pPr>
        <w:shd w:val="clear" w:color="auto" w:fill="FFFFFF"/>
        <w:spacing w:after="210" w:line="270" w:lineRule="atLeast"/>
        <w:jc w:val="center"/>
        <w:outlineLvl w:val="5"/>
        <w:rPr>
          <w:rFonts w:ascii="inherit" w:eastAsia="Times New Roman" w:hAnsi="inherit" w:cs="Arial"/>
          <w:color w:val="777777"/>
          <w:sz w:val="21"/>
          <w:szCs w:val="21"/>
          <w:lang w:eastAsia="it-IT"/>
        </w:rPr>
      </w:pPr>
      <w:r w:rsidRPr="000C22BA"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it-IT"/>
        </w:rPr>
        <w:t xml:space="preserve">Sul riconoscimento diagnosi e cura della </w:t>
      </w:r>
      <w:proofErr w:type="spellStart"/>
      <w:r w:rsidRPr="000C22BA"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it-IT"/>
        </w:rPr>
        <w:t>fibromialgia</w:t>
      </w:r>
      <w:proofErr w:type="spellEnd"/>
    </w:p>
    <w:p w:rsidR="000C22BA" w:rsidRPr="000C22BA" w:rsidRDefault="000C22BA" w:rsidP="000C22BA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</w:p>
    <w:p w:rsidR="000C22BA" w:rsidRPr="000C22BA" w:rsidRDefault="000C22BA" w:rsidP="000C22B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  <w:r w:rsidRPr="000C22BA">
        <w:rPr>
          <w:rFonts w:ascii="Arial" w:eastAsia="Times New Roman" w:hAnsi="Arial" w:cs="Arial"/>
          <w:b/>
          <w:bCs/>
          <w:color w:val="777777"/>
          <w:sz w:val="21"/>
          <w:szCs w:val="21"/>
          <w:lang w:eastAsia="it-IT"/>
        </w:rPr>
        <w:t>Il Consiglio Regionale,</w:t>
      </w:r>
    </w:p>
    <w:p w:rsidR="000C22BA" w:rsidRPr="000C22BA" w:rsidRDefault="000C22BA" w:rsidP="000C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</w:p>
    <w:p w:rsidR="000C22BA" w:rsidRPr="000C22BA" w:rsidRDefault="000C22BA" w:rsidP="000C22BA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  <w:r w:rsidRPr="000C22BA">
        <w:rPr>
          <w:rFonts w:ascii="Arial" w:eastAsia="Times New Roman" w:hAnsi="Arial" w:cs="Arial"/>
          <w:b/>
          <w:bCs/>
          <w:color w:val="777777"/>
          <w:sz w:val="21"/>
          <w:szCs w:val="21"/>
          <w:lang w:eastAsia="it-IT"/>
        </w:rPr>
        <w:t>Premesso che:</w:t>
      </w:r>
    </w:p>
    <w:p w:rsidR="000C22BA" w:rsidRPr="000C22BA" w:rsidRDefault="000C22BA" w:rsidP="000C22BA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- l'articolo 3 della Costituzione prevede che "Tutti i cittadini hanno pari dignità sociale</w:t>
      </w:r>
      <w:proofErr w:type="gram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";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-</w:t>
      </w:r>
      <w:proofErr w:type="gram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l'articolo 32 della Costituzione cita: "La Repubblica tutela la salute come fondamentale diritto dell'individuo e interesse della collettività, e garantisce cure gratuite agli indigenti. Nessuno può essere obbligato a un determinato trattamento sanitario se non per disposizione di legge. La legge non può in nessun caso violare i limiti imposti dal rispetto della persona umana</w:t>
      </w:r>
      <w:proofErr w:type="gram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";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-</w:t>
      </w:r>
      <w:proofErr w:type="gram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o sindrome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Fibromialgica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è una sindrome caratterizzata da dolore muscolare cronico diffuso associato a rigidità. Le possibili cure sono oggetto di continui </w:t>
      </w:r>
      <w:proofErr w:type="gram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studi;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-</w:t>
      </w:r>
      <w:proofErr w:type="gram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prevalentemente interessati dal dolore sono: la colonna vertebrale, le spalle, il cingolo pelvico, braccia, polsi, cosce. Al dolore cronico, che si presenta a intervalli si associano spesso disturbi dell'umore e in particolare del sonno, nonché astenia, ovvero affaticamento cronico. Inoltre la non-risposta ai comuni antidolorifici, nonché il carattere "migrante" dei dolori, sono peculiari della </w:t>
      </w:r>
      <w:proofErr w:type="spellStart"/>
      <w:proofErr w:type="gram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-</w:t>
      </w:r>
      <w:proofErr w:type="gram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tale sindrome colpisce approssimativamente 1,5 - 2 milioni di italiani e insorge prevalentemente nelle persone di sesso femminile in età adulta con un rapporto uomo-donna di 1:8 con esordio tra 25 e 35 anni (uomini) e tra 45 e 55 anni (donne). preso atto che: - 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è una patologia per la quale l'American College of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Rheumatology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A.C.R. ha emesso nei 1990 i criteri diagnostici ed elaborato il "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Fibromyalgia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Impact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Questionnaire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- FIQ-1", strumento ritenuto valido per il rilevamento e la misurazione della disabilita funzionale e lo stato di salute dei pazienti colpiti da tale sindrome;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 xml:space="preserve">- l'Organizzazione Mondiale della Sanità nel 1992 ha riconosciuto l'esistenza della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e i l 24 gennaio 2007 nell'ICD-10 (International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Classification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of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Diseases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) ha definitivamente classificato 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con il codice M - 79.7 e porta i nomi di "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Fibromyalgia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-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Fibromyositis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-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Fibrositis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-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Myofibrositisi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" nel Capitolo XIII "Malattie del sistema muscolare e connettivo";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 xml:space="preserve">- nella dichiarazione del Parlamento europeo del 13 gennaio 2009 (PS TA 2009 0014), il Parlamento europeo invita gli Stati Membri: a)a mettere a punto una strategia comunitaria per 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in modo da riconoscere questa sindrome come una malattia;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b) contribuire ad aumentare la consapevolezza della malattia e favorire l'accesso degli operatori sanitari e dei pazienti alle informazioni, sostenendo campagne di sensibilizzazione a livello nazionale;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c) incoraggiare a migliorare l'accesso alla diagnosi e ai trattamenti;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 xml:space="preserve">d) promuovere lo sviluppo di programmi per la raccolta di dati sulla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. </w:t>
      </w:r>
      <w:proofErr w:type="gram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dato</w:t>
      </w:r>
      <w:proofErr w:type="gram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atto che: - non è prevista alcuna forma di riconoscimento della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, per la quale non è prevista l'esenzione dalla partecipazione alla spesa sanitaria. considerato che: - i pazienti che soffrono di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hanno difficoltà a vivere una vita piena e indipendente, in quanto la sensibilità al dolore, il senso di debolezza e la fragilità portano la persona affetta da questa patologia a un isolamento nella vita lavorativa, di gruppo e affettiva;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- i pazienti non possono usufruire delle prestazioni contenute nei livelli essenziali di assistenza (LEA), erogabili attraverso le strutture del servizio sanitario nazionale a titolo gratuito, con numerosi ed esosi esami a pagamento;</w:t>
      </w:r>
    </w:p>
    <w:p w:rsidR="000C22BA" w:rsidRPr="000C22BA" w:rsidRDefault="000C22BA" w:rsidP="000C22BA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  <w:r w:rsidRPr="000C22BA">
        <w:rPr>
          <w:rFonts w:ascii="Arial" w:eastAsia="Times New Roman" w:hAnsi="Arial" w:cs="Arial"/>
          <w:b/>
          <w:bCs/>
          <w:color w:val="777777"/>
          <w:sz w:val="21"/>
          <w:szCs w:val="21"/>
          <w:lang w:eastAsia="it-IT"/>
        </w:rPr>
        <w:t>Impegna la Giunta regionale</w:t>
      </w:r>
    </w:p>
    <w:p w:rsidR="000C22BA" w:rsidRPr="000C22BA" w:rsidRDefault="000C22BA" w:rsidP="000C22BA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ed il Presidente della Giunta regionale 1) ad-attivarsi in sede di Conferenza delle Regioni e/o di Conferenza Stato — Regioni affinché a livello nazionale siano approvate le normative necessarie a prevedere il riconoscimento della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o Sindrome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Fibromialgica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con conseguente classificazione 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lastRenderedPageBreak/>
        <w:t>nel nomenclatore nazionale;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nonché il riconoscimento ai lavoratori affetti da questa patologia, di permessi di astensione dal lavoro per la cura della sintomatologia oltreché l'esenzione dal pagamento dei ticket per esami di laboratorio e/o strumentali e dei farmaci eventualmente prescritti;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 xml:space="preserve">2) ad avviare e assicurare in modo ottimale sul territorio regionale, tramite il Dipartimento e la Struttura Commissariale, la cura e la continuità terapeutica ai pazienti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fibromialgici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con dolore e a sviluppare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setting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clinico — gestionali attraverso l'interconnessione delle reti reumatologiche e di terapia del dolore, avviando una serie di percorsi, per la presa in carico globale del paziente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fibromialgico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, che necessità di cure antalgiche;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 xml:space="preserve">3) a riconoscere il rilevante apporto delle associazioni e del volontariato che si occupano della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sul territorio regionale e valorizzare le loro attività aventi come obiettivo il perseguimento di finalità di solidarietà, diretta ad aiutare persone sofferenti affette da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 xml:space="preserve">4)a istituire un registro regionale della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per la raccolta e l'analisi dei dati clinici e sociali riferiti alla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fibromialgia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;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 xml:space="preserve">5) a istituire un tavolo tecnico — politico per definire un PDTA del paziente </w:t>
      </w:r>
      <w:proofErr w:type="spellStart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fibromialgico</w:t>
      </w:r>
      <w:proofErr w:type="spellEnd"/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 xml:space="preserve"> con l'attivazione di un percorso dedicato ai pazienti con dolore costituendo un team multidisciplinare dedicato al percorso in oggetto. Attraverso tale strumento si vogliono ridurre i pazienti che ricorrono in maniera inappropriata al pronto soccorso e quindi impegnano tutti i servizi della rete di emergenza — urgenza. Tale comportamento pone preoccupazione in quanto scatena una serie di eventi importanti dal punto di vista organizzativo.</w:t>
      </w:r>
    </w:p>
    <w:p w:rsidR="000C22BA" w:rsidRPr="000C22BA" w:rsidRDefault="000C22BA" w:rsidP="000C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</w:p>
    <w:p w:rsidR="000C22BA" w:rsidRPr="000C22BA" w:rsidRDefault="000C22BA" w:rsidP="000C22BA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Allegato:</w:t>
      </w:r>
    </w:p>
    <w:p w:rsidR="000C22BA" w:rsidRPr="000C22BA" w:rsidRDefault="000C22BA" w:rsidP="000C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</w:p>
    <w:p w:rsidR="000C22BA" w:rsidRPr="000C22BA" w:rsidRDefault="000C22BA" w:rsidP="000C22BA">
      <w:pPr>
        <w:shd w:val="clear" w:color="auto" w:fill="FFFFFF"/>
        <w:spacing w:after="15" w:line="240" w:lineRule="auto"/>
        <w:jc w:val="right"/>
        <w:rPr>
          <w:rFonts w:ascii="Arial" w:eastAsia="Times New Roman" w:hAnsi="Arial" w:cs="Arial"/>
          <w:color w:val="777777"/>
          <w:sz w:val="21"/>
          <w:szCs w:val="21"/>
          <w:lang w:eastAsia="it-IT"/>
        </w:rPr>
      </w:pP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t>15/07/2019</w:t>
      </w:r>
      <w:r w:rsidRPr="000C22BA">
        <w:rPr>
          <w:rFonts w:ascii="Arial" w:eastAsia="Times New Roman" w:hAnsi="Arial" w:cs="Arial"/>
          <w:color w:val="777777"/>
          <w:sz w:val="21"/>
          <w:szCs w:val="21"/>
          <w:lang w:eastAsia="it-IT"/>
        </w:rPr>
        <w:br/>
        <w:t>D. BATTAGLIA, S. ESPOSITO, C. GUCCIONE, M. MIRABELLO, G. PE</w:t>
      </w:r>
      <w:r>
        <w:rPr>
          <w:rFonts w:ascii="Arial" w:eastAsia="Times New Roman" w:hAnsi="Arial" w:cs="Arial"/>
          <w:color w:val="777777"/>
          <w:sz w:val="21"/>
          <w:szCs w:val="21"/>
          <w:lang w:eastAsia="it-IT"/>
        </w:rPr>
        <w:t>DA’</w:t>
      </w:r>
    </w:p>
    <w:p w:rsidR="000C22BA" w:rsidRDefault="000C22BA">
      <w:bookmarkStart w:id="0" w:name="_GoBack"/>
      <w:bookmarkEnd w:id="0"/>
    </w:p>
    <w:sectPr w:rsidR="000C2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A"/>
    <w:rsid w:val="000C22BA"/>
    <w:rsid w:val="00415724"/>
    <w:rsid w:val="004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1763-8EF4-4730-AFAF-7A95F89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22B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C2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57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5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9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81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60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80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81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69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53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regionale.calabria.it/portale/Istituzione/Consiglieri/Consigliere/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iglioregionale.calabria.it/portale/Istituzione/Consiglieri/Consigliere/2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iglioregionale.calabria.it/portale/Istituzione/Consiglieri/Consigliere/2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iglioregionale.calabria.it/portale/Istituzione/Consiglieri/Consigliere/211" TargetMode="External"/><Relationship Id="rId10" Type="http://schemas.openxmlformats.org/officeDocument/2006/relationships/hyperlink" Target="http://www.consiglioregionale.calabria.it/MOZIONI10/161.pdf" TargetMode="External"/><Relationship Id="rId4" Type="http://schemas.openxmlformats.org/officeDocument/2006/relationships/hyperlink" Target="http://www.consiglioregionale.calabria.it/portale/BancheDati/SindacatoIspettivo/DettaglioIIM?numero=161&amp;tipo=MOZIONE&amp;leg=10&amp;titolo=Sul%20riconoscimento%20diagnosi%20e%20cura%20della%20fibromialgia" TargetMode="External"/><Relationship Id="rId9" Type="http://schemas.openxmlformats.org/officeDocument/2006/relationships/hyperlink" Target="http://www.consiglioregionale.calabria.it/portale/Istituzione/Consiglieri/Consigliere/2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Romeo</dc:creator>
  <cp:keywords/>
  <dc:description/>
  <cp:lastModifiedBy>Beatrice Romeo</cp:lastModifiedBy>
  <cp:revision>1</cp:revision>
  <dcterms:created xsi:type="dcterms:W3CDTF">2019-10-25T09:37:00Z</dcterms:created>
  <dcterms:modified xsi:type="dcterms:W3CDTF">2019-10-25T09:38:00Z</dcterms:modified>
</cp:coreProperties>
</file>